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5C09" w14:textId="77777777" w:rsidR="00297584" w:rsidRDefault="00297584" w:rsidP="00297584">
      <w:pPr>
        <w:jc w:val="center"/>
      </w:pPr>
    </w:p>
    <w:p w14:paraId="643488FF" w14:textId="5927EBF8" w:rsidR="00297584" w:rsidRPr="00CE2FD6" w:rsidRDefault="00297584" w:rsidP="00297584">
      <w:pPr>
        <w:jc w:val="center"/>
      </w:pPr>
      <w:r w:rsidRPr="00CE2FD6">
        <w:t>Constantine the Philosopher University in Nitra</w:t>
      </w:r>
      <w:r>
        <w:t xml:space="preserve">, </w:t>
      </w:r>
      <w:r w:rsidRPr="00CE2FD6">
        <w:t>the organizer of the</w:t>
      </w:r>
    </w:p>
    <w:p w14:paraId="11D5B097" w14:textId="3F01E271" w:rsidR="00B53B99" w:rsidRPr="00297584" w:rsidRDefault="00B53B99" w:rsidP="00297584">
      <w:pPr>
        <w:jc w:val="center"/>
        <w:rPr>
          <w:b/>
          <w:bCs/>
          <w:color w:val="CC00CC"/>
          <w:sz w:val="24"/>
          <w:szCs w:val="24"/>
        </w:rPr>
      </w:pPr>
      <w:r w:rsidRPr="00297584">
        <w:rPr>
          <w:b/>
          <w:bCs/>
          <w:color w:val="CC00CC"/>
          <w:sz w:val="24"/>
          <w:szCs w:val="24"/>
        </w:rPr>
        <w:t xml:space="preserve">Conference of </w:t>
      </w:r>
      <w:r w:rsidR="00322121" w:rsidRPr="00297584">
        <w:rPr>
          <w:b/>
          <w:bCs/>
          <w:color w:val="CC00CC"/>
          <w:sz w:val="24"/>
          <w:szCs w:val="24"/>
        </w:rPr>
        <w:t>E</w:t>
      </w:r>
      <w:r w:rsidRPr="00297584">
        <w:rPr>
          <w:b/>
          <w:bCs/>
          <w:color w:val="CC00CC"/>
          <w:sz w:val="24"/>
          <w:szCs w:val="24"/>
        </w:rPr>
        <w:t xml:space="preserve">nvironmental </w:t>
      </w:r>
      <w:r w:rsidR="00322121" w:rsidRPr="00297584">
        <w:rPr>
          <w:b/>
          <w:bCs/>
          <w:color w:val="CC00CC"/>
          <w:sz w:val="24"/>
          <w:szCs w:val="24"/>
        </w:rPr>
        <w:t>A</w:t>
      </w:r>
      <w:r w:rsidRPr="00297584">
        <w:rPr>
          <w:b/>
          <w:bCs/>
          <w:color w:val="CC00CC"/>
          <w:sz w:val="24"/>
          <w:szCs w:val="24"/>
        </w:rPr>
        <w:t>rchaeology (CEA) 2025</w:t>
      </w:r>
    </w:p>
    <w:p w14:paraId="545C9147" w14:textId="4658D674" w:rsidR="00B53B99" w:rsidRPr="00CE2FD6" w:rsidRDefault="00297584" w:rsidP="00297584">
      <w:pPr>
        <w:jc w:val="center"/>
      </w:pPr>
      <w:r>
        <w:t>W</w:t>
      </w:r>
      <w:r w:rsidR="00B53B99" w:rsidRPr="00CE2FD6">
        <w:t>ould like to invite you to the 19th meeting of CEA with the topic</w:t>
      </w:r>
    </w:p>
    <w:p w14:paraId="6EC07EA8" w14:textId="257FB58C" w:rsidR="00A61EDF" w:rsidRPr="00297584" w:rsidRDefault="0040373E" w:rsidP="00297584">
      <w:pPr>
        <w:jc w:val="center"/>
        <w:rPr>
          <w:b/>
          <w:bCs/>
          <w:color w:val="CC00CC"/>
          <w:sz w:val="24"/>
          <w:szCs w:val="24"/>
          <w:lang w:eastAsia="sk-SK"/>
        </w:rPr>
      </w:pPr>
      <w:r w:rsidRPr="00297584">
        <w:rPr>
          <w:b/>
          <w:bCs/>
          <w:color w:val="CC00CC"/>
          <w:sz w:val="24"/>
          <w:szCs w:val="24"/>
          <w:lang w:eastAsia="sk-SK"/>
        </w:rPr>
        <w:t>Archaeology of resources</w:t>
      </w:r>
    </w:p>
    <w:p w14:paraId="64028B5A" w14:textId="66E60829" w:rsidR="00B53B99" w:rsidRPr="003B1B8A" w:rsidRDefault="00CE2FD6" w:rsidP="00297584">
      <w:pPr>
        <w:jc w:val="center"/>
        <w:rPr>
          <w:rFonts w:cs="Calibri"/>
          <w:color w:val="000000"/>
          <w:shd w:val="clear" w:color="auto" w:fill="FFFFFF"/>
        </w:rPr>
      </w:pPr>
      <w:r w:rsidRPr="003B1B8A">
        <w:rPr>
          <w:rFonts w:cs="Calibri"/>
        </w:rPr>
        <w:t>The conference</w:t>
      </w:r>
      <w:r w:rsidR="00B53B99" w:rsidRPr="003B1B8A">
        <w:rPr>
          <w:rFonts w:cs="Calibri"/>
        </w:rPr>
        <w:t xml:space="preserve"> will be held on the 5th to 7th February 2025 </w:t>
      </w:r>
      <w:r w:rsidR="00B53B99" w:rsidRPr="003B1B8A">
        <w:rPr>
          <w:rFonts w:cs="Calibri"/>
          <w:color w:val="000000"/>
          <w:shd w:val="clear" w:color="auto" w:fill="FFFFFF"/>
        </w:rPr>
        <w:t>at the Constantine the Philosopher University in Nitra, Trieda A. Hlinku 1, 94901 Nitra, Slovakia.</w:t>
      </w:r>
    </w:p>
    <w:p w14:paraId="60DA4DD9" w14:textId="07FF44DC" w:rsidR="00A710C7" w:rsidRPr="003B1B8A" w:rsidRDefault="00A710C7" w:rsidP="003B1B8A">
      <w:pPr>
        <w:spacing w:after="0" w:line="240" w:lineRule="auto"/>
        <w:rPr>
          <w:lang w:eastAsia="sk-SK"/>
        </w:rPr>
      </w:pPr>
      <w:bookmarkStart w:id="0" w:name="_Hlk171331176"/>
      <w:r w:rsidRPr="003B1B8A">
        <w:rPr>
          <w:lang w:eastAsia="sk-SK"/>
        </w:rPr>
        <w:t>The</w:t>
      </w:r>
      <w:r w:rsidR="00297584" w:rsidRPr="003B1B8A">
        <w:rPr>
          <w:lang w:eastAsia="sk-SK"/>
        </w:rPr>
        <w:t xml:space="preserve"> conference will focus on archaeology of resources</w:t>
      </w:r>
      <w:r w:rsidR="003B1B8A" w:rsidRPr="003B1B8A">
        <w:rPr>
          <w:lang w:eastAsia="sk-SK"/>
        </w:rPr>
        <w:t xml:space="preserve"> and bring together papers that </w:t>
      </w:r>
      <w:r w:rsidR="00C94F8A" w:rsidRPr="003B1B8A">
        <w:rPr>
          <w:lang w:eastAsia="sk-SK"/>
        </w:rPr>
        <w:t xml:space="preserve">aim to </w:t>
      </w:r>
      <w:r w:rsidRPr="003B1B8A">
        <w:rPr>
          <w:lang w:eastAsia="sk-SK"/>
        </w:rPr>
        <w:t>understand how ancient societies utilized, managed, and interacted with natural resources</w:t>
      </w:r>
      <w:r w:rsidR="00C94F8A" w:rsidRPr="003B1B8A">
        <w:rPr>
          <w:lang w:eastAsia="sk-SK"/>
        </w:rPr>
        <w:t xml:space="preserve"> mostly through </w:t>
      </w:r>
      <w:r w:rsidRPr="003B1B8A">
        <w:rPr>
          <w:lang w:eastAsia="sk-SK"/>
        </w:rPr>
        <w:t>examin</w:t>
      </w:r>
      <w:r w:rsidR="00C94F8A" w:rsidRPr="003B1B8A">
        <w:rPr>
          <w:lang w:eastAsia="sk-SK"/>
        </w:rPr>
        <w:t xml:space="preserve">ation of </w:t>
      </w:r>
      <w:r w:rsidRPr="003B1B8A">
        <w:rPr>
          <w:lang w:eastAsia="sk-SK"/>
        </w:rPr>
        <w:t>the material remains of past human activities related to the exploitation, management and conservation of resources such as water, soil, minerals, plants, and animals.</w:t>
      </w:r>
      <w:r w:rsidR="00297584" w:rsidRPr="003B1B8A">
        <w:rPr>
          <w:lang w:eastAsia="sk-SK"/>
        </w:rPr>
        <w:t xml:space="preserve"> </w:t>
      </w:r>
    </w:p>
    <w:p w14:paraId="5540F281" w14:textId="1B2ED207" w:rsidR="00A710C7" w:rsidRPr="003B1B8A" w:rsidRDefault="00A710C7" w:rsidP="003B1B8A">
      <w:pPr>
        <w:spacing w:after="0" w:line="240" w:lineRule="auto"/>
        <w:rPr>
          <w:lang w:eastAsia="sk-SK"/>
        </w:rPr>
      </w:pPr>
      <w:r w:rsidRPr="003B1B8A">
        <w:rPr>
          <w:lang w:eastAsia="sk-SK"/>
        </w:rPr>
        <w:t xml:space="preserve">We invite papers that address questions from five </w:t>
      </w:r>
      <w:r w:rsidR="00B971B1" w:rsidRPr="003B1B8A">
        <w:rPr>
          <w:lang w:eastAsia="sk-SK"/>
        </w:rPr>
        <w:t>key</w:t>
      </w:r>
      <w:r w:rsidRPr="003B1B8A">
        <w:rPr>
          <w:lang w:eastAsia="sk-SK"/>
        </w:rPr>
        <w:t xml:space="preserve"> topics: </w:t>
      </w:r>
    </w:p>
    <w:p w14:paraId="37A40F69" w14:textId="1F471AB8" w:rsidR="00A710C7" w:rsidRPr="003B1B8A" w:rsidRDefault="00A710C7" w:rsidP="003B1B8A">
      <w:pPr>
        <w:pStyle w:val="ListParagraph"/>
        <w:numPr>
          <w:ilvl w:val="0"/>
          <w:numId w:val="8"/>
        </w:numPr>
        <w:spacing w:after="0" w:line="240" w:lineRule="auto"/>
        <w:rPr>
          <w:lang w:eastAsia="sk-SK"/>
        </w:rPr>
      </w:pPr>
      <w:r w:rsidRPr="003B1B8A">
        <w:rPr>
          <w:lang w:eastAsia="sk-SK"/>
        </w:rPr>
        <w:t xml:space="preserve">Agricultural practices – crop cultivation, </w:t>
      </w:r>
      <w:proofErr w:type="spellStart"/>
      <w:r w:rsidRPr="003B1B8A">
        <w:rPr>
          <w:lang w:eastAsia="sk-SK"/>
        </w:rPr>
        <w:t>fieldscapes</w:t>
      </w:r>
      <w:proofErr w:type="spellEnd"/>
      <w:r w:rsidRPr="003B1B8A">
        <w:rPr>
          <w:lang w:eastAsia="sk-SK"/>
        </w:rPr>
        <w:t xml:space="preserve"> and water management from botanical, isotopic or soil data perspectives</w:t>
      </w:r>
    </w:p>
    <w:p w14:paraId="2BF0131A" w14:textId="77A56601" w:rsidR="00A710C7" w:rsidRPr="003B1B8A" w:rsidRDefault="00A710C7" w:rsidP="003B1B8A">
      <w:pPr>
        <w:pStyle w:val="ListParagraph"/>
        <w:numPr>
          <w:ilvl w:val="0"/>
          <w:numId w:val="8"/>
        </w:numPr>
        <w:spacing w:after="0" w:line="240" w:lineRule="auto"/>
        <w:rPr>
          <w:lang w:eastAsia="sk-SK"/>
        </w:rPr>
      </w:pPr>
      <w:r w:rsidRPr="003B1B8A">
        <w:rPr>
          <w:lang w:eastAsia="sk-SK"/>
        </w:rPr>
        <w:t>Animal husbandry and hunting – feeding, breeding and hunting techniques and their role in subsistence economies</w:t>
      </w:r>
    </w:p>
    <w:p w14:paraId="34198BC3" w14:textId="1DD4CB2A" w:rsidR="00A710C7" w:rsidRPr="003B1B8A" w:rsidRDefault="00C94F8A" w:rsidP="003B1B8A">
      <w:pPr>
        <w:pStyle w:val="ListParagraph"/>
        <w:numPr>
          <w:ilvl w:val="0"/>
          <w:numId w:val="8"/>
        </w:numPr>
        <w:spacing w:after="0" w:line="240" w:lineRule="auto"/>
        <w:rPr>
          <w:lang w:eastAsia="sk-SK"/>
        </w:rPr>
      </w:pPr>
      <w:r w:rsidRPr="003B1B8A">
        <w:rPr>
          <w:lang w:eastAsia="sk-SK"/>
        </w:rPr>
        <w:t>Exploitation</w:t>
      </w:r>
      <w:r w:rsidR="00A710C7" w:rsidRPr="003B1B8A">
        <w:rPr>
          <w:lang w:eastAsia="sk-SK"/>
        </w:rPr>
        <w:t xml:space="preserve"> of raw materials – technologies, mining, quarrying techniques</w:t>
      </w:r>
    </w:p>
    <w:p w14:paraId="53137DF9" w14:textId="63E2B03E" w:rsidR="00A710C7" w:rsidRPr="003B1B8A" w:rsidRDefault="00C94F8A" w:rsidP="003B1B8A">
      <w:pPr>
        <w:pStyle w:val="ListParagraph"/>
        <w:numPr>
          <w:ilvl w:val="0"/>
          <w:numId w:val="8"/>
        </w:numPr>
        <w:spacing w:after="0" w:line="240" w:lineRule="auto"/>
        <w:rPr>
          <w:lang w:eastAsia="sk-SK"/>
        </w:rPr>
      </w:pPr>
      <w:r w:rsidRPr="003B1B8A">
        <w:rPr>
          <w:lang w:eastAsia="sk-SK"/>
        </w:rPr>
        <w:t>Environmental</w:t>
      </w:r>
      <w:r w:rsidR="00A710C7" w:rsidRPr="003B1B8A">
        <w:rPr>
          <w:lang w:eastAsia="sk-SK"/>
        </w:rPr>
        <w:t xml:space="preserve"> impact and sustainability – deforestation, land use, </w:t>
      </w:r>
      <w:r w:rsidRPr="003B1B8A">
        <w:rPr>
          <w:lang w:eastAsia="sk-SK"/>
        </w:rPr>
        <w:t xml:space="preserve">pollution, </w:t>
      </w:r>
      <w:r w:rsidR="00A710C7" w:rsidRPr="003B1B8A">
        <w:rPr>
          <w:lang w:eastAsia="sk-SK"/>
        </w:rPr>
        <w:t>hydraulic engineering</w:t>
      </w:r>
    </w:p>
    <w:p w14:paraId="2DD493E6" w14:textId="28843336" w:rsidR="00A710C7" w:rsidRPr="003B1B8A" w:rsidRDefault="00A710C7" w:rsidP="003B1B8A">
      <w:pPr>
        <w:pStyle w:val="ListParagraph"/>
        <w:numPr>
          <w:ilvl w:val="0"/>
          <w:numId w:val="8"/>
        </w:numPr>
        <w:spacing w:after="0" w:line="240" w:lineRule="auto"/>
        <w:rPr>
          <w:lang w:eastAsia="sk-SK"/>
        </w:rPr>
      </w:pPr>
      <w:r w:rsidRPr="003B1B8A">
        <w:rPr>
          <w:lang w:eastAsia="sk-SK"/>
        </w:rPr>
        <w:t>Trade and exchange networks – distribution</w:t>
      </w:r>
      <w:r w:rsidR="00C94F8A" w:rsidRPr="003B1B8A">
        <w:rPr>
          <w:lang w:eastAsia="sk-SK"/>
        </w:rPr>
        <w:t xml:space="preserve">, analysis of isotopes and elements from </w:t>
      </w:r>
      <w:r w:rsidRPr="003B1B8A">
        <w:rPr>
          <w:lang w:eastAsia="sk-SK"/>
        </w:rPr>
        <w:t>pottery, metals</w:t>
      </w:r>
      <w:r w:rsidR="00C94F8A" w:rsidRPr="003B1B8A">
        <w:rPr>
          <w:lang w:eastAsia="sk-SK"/>
        </w:rPr>
        <w:t xml:space="preserve"> and </w:t>
      </w:r>
      <w:r w:rsidRPr="003B1B8A">
        <w:rPr>
          <w:lang w:eastAsia="sk-SK"/>
        </w:rPr>
        <w:t>food remains and residues</w:t>
      </w:r>
    </w:p>
    <w:p w14:paraId="66753B42" w14:textId="0626F679" w:rsidR="00C94F8A" w:rsidRPr="003B1B8A" w:rsidRDefault="003B1B8A" w:rsidP="003B1B8A">
      <w:pPr>
        <w:spacing w:after="120" w:line="240" w:lineRule="auto"/>
        <w:rPr>
          <w:lang w:eastAsia="sk-SK"/>
        </w:rPr>
      </w:pPr>
      <w:r w:rsidRPr="003B1B8A">
        <w:rPr>
          <w:lang w:eastAsia="sk-SK"/>
        </w:rPr>
        <w:t>We hope to learn about</w:t>
      </w:r>
      <w:r w:rsidR="00C94F8A" w:rsidRPr="003B1B8A">
        <w:rPr>
          <w:lang w:eastAsia="sk-SK"/>
        </w:rPr>
        <w:t xml:space="preserve"> the economic, social, and environmental aspects of past human life</w:t>
      </w:r>
      <w:r w:rsidRPr="003B1B8A">
        <w:rPr>
          <w:lang w:eastAsia="sk-SK"/>
        </w:rPr>
        <w:t xml:space="preserve">, including mechanisms of </w:t>
      </w:r>
      <w:r w:rsidR="00C94F8A" w:rsidRPr="003B1B8A">
        <w:rPr>
          <w:lang w:eastAsia="sk-SK"/>
        </w:rPr>
        <w:t xml:space="preserve">sustainability and resilience of ancient civilizations. </w:t>
      </w:r>
      <w:r w:rsidRPr="003B1B8A">
        <w:rPr>
          <w:lang w:eastAsia="sk-SK"/>
        </w:rPr>
        <w:t>We welcome</w:t>
      </w:r>
      <w:r w:rsidR="00C94F8A" w:rsidRPr="003B1B8A">
        <w:rPr>
          <w:lang w:eastAsia="sk-SK"/>
        </w:rPr>
        <w:t xml:space="preserve"> </w:t>
      </w:r>
      <w:r w:rsidRPr="003B1B8A">
        <w:rPr>
          <w:lang w:eastAsia="sk-SK"/>
        </w:rPr>
        <w:t xml:space="preserve">papers bringing </w:t>
      </w:r>
      <w:r w:rsidR="00C94F8A" w:rsidRPr="003B1B8A">
        <w:rPr>
          <w:lang w:eastAsia="sk-SK"/>
        </w:rPr>
        <w:t>lessons for contemporary resource management and environmental conservation.</w:t>
      </w:r>
    </w:p>
    <w:bookmarkEnd w:id="0"/>
    <w:p w14:paraId="29CB0A84" w14:textId="37983994" w:rsidR="003B1B8A" w:rsidRDefault="003B1B8A" w:rsidP="003B1B8A">
      <w:pPr>
        <w:spacing w:after="120" w:line="240" w:lineRule="auto"/>
        <w:rPr>
          <w:color w:val="FF0000"/>
        </w:rPr>
      </w:pPr>
      <w:r w:rsidRPr="003B1B8A">
        <w:rPr>
          <w:color w:val="0070C0"/>
        </w:rPr>
        <w:t xml:space="preserve">Web: </w:t>
      </w:r>
      <w:hyperlink r:id="rId7" w:history="1">
        <w:r w:rsidR="00EA5578" w:rsidRPr="002A7120">
          <w:rPr>
            <w:rStyle w:val="Hyperlink"/>
          </w:rPr>
          <w:t>https://www.iansa.eu/cea</w:t>
        </w:r>
      </w:hyperlink>
    </w:p>
    <w:p w14:paraId="7945C528" w14:textId="6C0D6604" w:rsidR="00B94A90" w:rsidRPr="003B1B8A" w:rsidRDefault="00A61EDF" w:rsidP="003B1B8A">
      <w:pPr>
        <w:spacing w:after="120" w:line="240" w:lineRule="auto"/>
      </w:pPr>
      <w:r w:rsidRPr="003B1B8A">
        <w:t>Binding registration</w:t>
      </w:r>
      <w:r w:rsidR="00631062" w:rsidRPr="003B1B8A">
        <w:rPr>
          <w:b/>
          <w:bCs/>
        </w:rPr>
        <w:t xml:space="preserve"> </w:t>
      </w:r>
      <w:r w:rsidR="003B1B8A" w:rsidRPr="003B1B8A">
        <w:t>at</w:t>
      </w:r>
      <w:r w:rsidR="003B1B8A" w:rsidRPr="003B1B8A">
        <w:rPr>
          <w:b/>
          <w:bCs/>
        </w:rPr>
        <w:t xml:space="preserve"> </w:t>
      </w:r>
      <w:hyperlink r:id="rId8" w:tgtFrame="_blank" w:history="1">
        <w:r w:rsidR="003B1B8A" w:rsidRPr="003B1B8A">
          <w:rPr>
            <w:rStyle w:val="Hyperlink"/>
            <w:rFonts w:cs="Arial"/>
            <w:color w:val="1155CC"/>
            <w:shd w:val="clear" w:color="auto" w:fill="FFFFFF"/>
          </w:rPr>
          <w:t>https://forms.gle/ydkdbwHg6rgBCZr37</w:t>
        </w:r>
      </w:hyperlink>
      <w:r w:rsidR="003B1B8A" w:rsidRPr="003B1B8A">
        <w:t>, before</w:t>
      </w:r>
      <w:r w:rsidRPr="003B1B8A">
        <w:t xml:space="preserve"> 30 November 202</w:t>
      </w:r>
      <w:r w:rsidR="00684418" w:rsidRPr="003B1B8A">
        <w:t>4</w:t>
      </w:r>
      <w:r w:rsidR="00631062" w:rsidRPr="003B1B8A">
        <w:t>,</w:t>
      </w:r>
      <w:r w:rsidRPr="003B1B8A">
        <w:t xml:space="preserve"> </w:t>
      </w:r>
      <w:r w:rsidR="00631062" w:rsidRPr="003B1B8A">
        <w:t>23:59h CET</w:t>
      </w:r>
    </w:p>
    <w:p w14:paraId="67ABECF4" w14:textId="7C5B4A37" w:rsidR="003B1B8A" w:rsidRPr="003B1B8A" w:rsidRDefault="00631062" w:rsidP="003B1B8A">
      <w:pPr>
        <w:spacing w:after="120" w:line="240" w:lineRule="auto"/>
      </w:pPr>
      <w:bookmarkStart w:id="1" w:name="_Hlk171330793"/>
      <w:r w:rsidRPr="003B1B8A">
        <w:t xml:space="preserve">Abstract </w:t>
      </w:r>
      <w:r w:rsidR="003B1B8A" w:rsidRPr="003B1B8A">
        <w:t>max</w:t>
      </w:r>
      <w:r w:rsidRPr="003B1B8A">
        <w:t xml:space="preserve"> </w:t>
      </w:r>
      <w:r w:rsidR="00A61EDF" w:rsidRPr="003B1B8A">
        <w:t xml:space="preserve">500 words, </w:t>
      </w:r>
      <w:r w:rsidRPr="003B1B8A">
        <w:t>1</w:t>
      </w:r>
      <w:r w:rsidR="00A61EDF" w:rsidRPr="003B1B8A">
        <w:t>0 references, 3 figures, via e-mail</w:t>
      </w:r>
      <w:r w:rsidR="00B94A90" w:rsidRPr="003B1B8A">
        <w:t xml:space="preserve"> </w:t>
      </w:r>
      <w:r w:rsidR="003B1B8A" w:rsidRPr="003B1B8A">
        <w:t>before 30 November 2024, 23:59h CET</w:t>
      </w:r>
    </w:p>
    <w:p w14:paraId="7A74E3B9" w14:textId="553B25E0" w:rsidR="003B1B8A" w:rsidRPr="00B449EE" w:rsidRDefault="004B24C7" w:rsidP="003B1B8A">
      <w:pPr>
        <w:spacing w:after="120" w:line="240" w:lineRule="auto"/>
        <w:rPr>
          <w:rFonts w:ascii="Calibri" w:hAnsi="Calibri" w:cs="Calibri"/>
        </w:rPr>
      </w:pPr>
      <w:bookmarkStart w:id="2" w:name="_Hlk171330934"/>
      <w:bookmarkEnd w:id="1"/>
      <w:r w:rsidRPr="003B1B8A">
        <w:t>Fee: 80 E</w:t>
      </w:r>
      <w:r w:rsidR="00B94A90" w:rsidRPr="003B1B8A">
        <w:t>UR</w:t>
      </w:r>
      <w:r w:rsidR="008341A1" w:rsidRPr="003B1B8A">
        <w:t>, students 40 EUR</w:t>
      </w:r>
      <w:r w:rsidR="003B1B8A">
        <w:t xml:space="preserve"> (t</w:t>
      </w:r>
      <w:r w:rsidR="003B1B8A" w:rsidRPr="00B449EE">
        <w:rPr>
          <w:rFonts w:ascii="Calibri" w:hAnsi="Calibri" w:cs="Calibri"/>
        </w:rPr>
        <w:t xml:space="preserve">he </w:t>
      </w:r>
      <w:r w:rsidR="003B1B8A">
        <w:rPr>
          <w:rFonts w:ascii="Calibri" w:hAnsi="Calibri" w:cs="Calibri"/>
        </w:rPr>
        <w:t xml:space="preserve">price </w:t>
      </w:r>
      <w:r w:rsidR="003B1B8A" w:rsidRPr="00B449EE">
        <w:rPr>
          <w:rFonts w:ascii="Calibri" w:hAnsi="Calibri" w:cs="Calibri"/>
        </w:rPr>
        <w:t>includes the Book of Abstracts, Refreshments during coffee breaks, Conference dinner and Excursion</w:t>
      </w:r>
      <w:r w:rsidR="003B1B8A">
        <w:rPr>
          <w:rFonts w:ascii="Calibri" w:hAnsi="Calibri" w:cs="Calibri"/>
        </w:rPr>
        <w:t>)</w:t>
      </w:r>
    </w:p>
    <w:p w14:paraId="3281FA05" w14:textId="47EEB008" w:rsidR="00A61EDF" w:rsidRDefault="00A61EDF" w:rsidP="003B1B8A">
      <w:pPr>
        <w:spacing w:after="120" w:line="240" w:lineRule="auto"/>
      </w:pPr>
      <w:r>
        <w:t xml:space="preserve">An invoice will be issued </w:t>
      </w:r>
      <w:proofErr w:type="gramStart"/>
      <w:r>
        <w:t>on the basis of</w:t>
      </w:r>
      <w:proofErr w:type="gramEnd"/>
      <w:r>
        <w:t xml:space="preserve"> this binding registration</w:t>
      </w:r>
      <w:r w:rsidR="004B24C7">
        <w:t xml:space="preserve"> during January 2025</w:t>
      </w:r>
      <w:r>
        <w:t xml:space="preserve">, you will then pay by bank transfer </w:t>
      </w:r>
    </w:p>
    <w:bookmarkEnd w:id="2"/>
    <w:p w14:paraId="638D99B4" w14:textId="6B65F148" w:rsidR="00A61EDF" w:rsidRPr="003B1B8A" w:rsidRDefault="00A61EDF" w:rsidP="003B1B8A">
      <w:pPr>
        <w:spacing w:after="0" w:line="240" w:lineRule="auto"/>
        <w:rPr>
          <w:color w:val="CC00CC"/>
        </w:rPr>
      </w:pPr>
      <w:r w:rsidRPr="003B1B8A">
        <w:rPr>
          <w:color w:val="CC00CC"/>
        </w:rPr>
        <w:t xml:space="preserve">Preliminary Programme </w:t>
      </w:r>
    </w:p>
    <w:p w14:paraId="4256D3AD" w14:textId="7F5EB2CA" w:rsidR="00A61EDF" w:rsidRDefault="00A61EDF" w:rsidP="003B1B8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5th February 2025: </w:t>
      </w:r>
      <w:r w:rsidR="00631062">
        <w:t>Registration</w:t>
      </w:r>
      <w:r w:rsidR="00B94A90">
        <w:t xml:space="preserve"> 11:00</w:t>
      </w:r>
      <w:r w:rsidR="00631062">
        <w:t>, Opening 13:00, Scientific programme</w:t>
      </w:r>
    </w:p>
    <w:p w14:paraId="565D2D11" w14:textId="72205D36" w:rsidR="00A61EDF" w:rsidRDefault="00A61EDF" w:rsidP="003B1B8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6th February 2025: </w:t>
      </w:r>
      <w:r w:rsidR="00B94A90">
        <w:t>Scientific programme, Lunch break, Scientific programme, 19:00 C</w:t>
      </w:r>
      <w:r w:rsidR="00631062">
        <w:t>onference dinner</w:t>
      </w:r>
    </w:p>
    <w:p w14:paraId="4A775AC9" w14:textId="53AD5993" w:rsidR="003B1B8A" w:rsidRPr="003B1B8A" w:rsidRDefault="00A61EDF" w:rsidP="0043483A">
      <w:pPr>
        <w:pStyle w:val="ListParagraph"/>
        <w:numPr>
          <w:ilvl w:val="0"/>
          <w:numId w:val="5"/>
        </w:numPr>
        <w:spacing w:after="0" w:line="240" w:lineRule="auto"/>
        <w:rPr>
          <w:rFonts w:ascii="Source Sans Pro" w:hAnsi="Source Sans Pro"/>
          <w:color w:val="5E5E5E"/>
        </w:rPr>
      </w:pPr>
      <w:r>
        <w:t>7th February 202</w:t>
      </w:r>
      <w:r w:rsidR="00631062">
        <w:t>5</w:t>
      </w:r>
      <w:r>
        <w:t xml:space="preserve">: </w:t>
      </w:r>
      <w:r w:rsidR="00631062">
        <w:t>Fieldtrip</w:t>
      </w:r>
      <w:r w:rsidR="00743663">
        <w:t xml:space="preserve"> </w:t>
      </w:r>
      <w:r w:rsidR="00B94A90">
        <w:t xml:space="preserve">8:00-17:00 </w:t>
      </w:r>
      <w:r w:rsidR="00743663">
        <w:t xml:space="preserve">– </w:t>
      </w:r>
      <w:proofErr w:type="spellStart"/>
      <w:r w:rsidR="00743663">
        <w:t>Archeopark</w:t>
      </w:r>
      <w:proofErr w:type="spellEnd"/>
      <w:r w:rsidR="00743663">
        <w:t xml:space="preserve"> </w:t>
      </w:r>
      <w:r w:rsidR="00B94A90">
        <w:t xml:space="preserve">at </w:t>
      </w:r>
      <w:proofErr w:type="spellStart"/>
      <w:r w:rsidR="00743663">
        <w:t>Cífer-Pác</w:t>
      </w:r>
      <w:proofErr w:type="spellEnd"/>
      <w:r w:rsidR="00B94A90">
        <w:t xml:space="preserve"> and </w:t>
      </w:r>
      <w:r w:rsidR="00743663">
        <w:t>an early Iron Age hillfort</w:t>
      </w:r>
      <w:r w:rsidR="00B94A90">
        <w:t xml:space="preserve"> in </w:t>
      </w:r>
      <w:proofErr w:type="spellStart"/>
      <w:r w:rsidR="00B94A90">
        <w:t>Smolenice</w:t>
      </w:r>
      <w:proofErr w:type="spellEnd"/>
    </w:p>
    <w:p w14:paraId="57FAFA35" w14:textId="1FB4DA3E" w:rsidR="0053153F" w:rsidRPr="00B53B99" w:rsidRDefault="00B94A90" w:rsidP="00D042A2">
      <w:pPr>
        <w:spacing w:before="120" w:after="0" w:line="240" w:lineRule="auto"/>
        <w:rPr>
          <w:rFonts w:ascii="Calibri" w:hAnsi="Calibri" w:cs="Calibri"/>
        </w:rPr>
      </w:pPr>
      <w:r w:rsidRPr="003B1B8A">
        <w:rPr>
          <w:rFonts w:ascii="Source Sans Pro" w:hAnsi="Source Sans Pro"/>
        </w:rPr>
        <w:t>General queries about the conference can be addressed to the organisers via e</w:t>
      </w:r>
      <w:r w:rsidRPr="003B1B8A">
        <w:t xml:space="preserve">-mail at </w:t>
      </w:r>
      <w:r w:rsidRPr="003B1B8A">
        <w:rPr>
          <w:color w:val="0070C0"/>
        </w:rPr>
        <w:t>cea2025@gmail.com</w:t>
      </w:r>
      <w:r w:rsidRPr="00B94A90">
        <w:rPr>
          <w:color w:val="FF0000"/>
        </w:rPr>
        <w:t xml:space="preserve"> </w:t>
      </w:r>
    </w:p>
    <w:sectPr w:rsidR="0053153F" w:rsidRPr="00B53B99" w:rsidSect="003B1B8A">
      <w:headerReference w:type="default" r:id="rId9"/>
      <w:footerReference w:type="default" r:id="rId10"/>
      <w:pgSz w:w="11906" w:h="16838"/>
      <w:pgMar w:top="1560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24E4" w14:textId="77777777" w:rsidR="00F47F21" w:rsidRDefault="00F47F21" w:rsidP="00297584">
      <w:pPr>
        <w:spacing w:after="0" w:line="240" w:lineRule="auto"/>
      </w:pPr>
      <w:r>
        <w:separator/>
      </w:r>
    </w:p>
  </w:endnote>
  <w:endnote w:type="continuationSeparator" w:id="0">
    <w:p w14:paraId="387B099C" w14:textId="77777777" w:rsidR="00F47F21" w:rsidRDefault="00F47F21" w:rsidP="0029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BFD" w14:textId="45FEF9EE" w:rsidR="006254F7" w:rsidRDefault="00CE3B59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0E5140" wp14:editId="47099B4A">
          <wp:simplePos x="0" y="0"/>
          <wp:positionH relativeFrom="column">
            <wp:posOffset>5397716</wp:posOffset>
          </wp:positionH>
          <wp:positionV relativeFrom="paragraph">
            <wp:posOffset>3175</wp:posOffset>
          </wp:positionV>
          <wp:extent cx="850049" cy="556260"/>
          <wp:effectExtent l="0" t="0" r="7620" b="0"/>
          <wp:wrapNone/>
          <wp:docPr id="15" name="Obrázek 15" descr="A logo with a red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 descr="A logo with a red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49" cy="55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2A2">
      <w:rPr>
        <w:noProof/>
      </w:rPr>
      <w:drawing>
        <wp:inline distT="0" distB="0" distL="0" distR="0" wp14:anchorId="61C6EA8A" wp14:editId="73871170">
          <wp:extent cx="641350" cy="641350"/>
          <wp:effectExtent l="0" t="0" r="6350" b="6350"/>
          <wp:docPr id="1018902367" name="Picture 5" descr="A logo with text and a circular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02367" name="Picture 5" descr="A logo with text and a circular patter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4F7">
      <w:ptab w:relativeTo="margin" w:alignment="center" w:leader="none"/>
    </w:r>
    <w:r w:rsidR="00D042A2" w:rsidRPr="00D042A2">
      <w:rPr>
        <w:noProof/>
      </w:rPr>
      <w:drawing>
        <wp:inline distT="0" distB="0" distL="0" distR="0" wp14:anchorId="5599710D" wp14:editId="58A7412C">
          <wp:extent cx="615950" cy="613212"/>
          <wp:effectExtent l="0" t="0" r="0" b="0"/>
          <wp:docPr id="6" name="Picture 5" descr="A black and white logo of a pers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20A5F10-A3B5-5702-7140-ED081C5A5A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ack and white logo of a person&#10;&#10;Description automatically generated">
                    <a:extLst>
                      <a:ext uri="{FF2B5EF4-FFF2-40B4-BE49-F238E27FC236}">
                        <a16:creationId xmlns:a16="http://schemas.microsoft.com/office/drawing/2014/main" id="{A20A5F10-A3B5-5702-7140-ED081C5A5A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22926" cy="620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4F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9B34" w14:textId="77777777" w:rsidR="00F47F21" w:rsidRDefault="00F47F21" w:rsidP="00297584">
      <w:pPr>
        <w:spacing w:after="0" w:line="240" w:lineRule="auto"/>
      </w:pPr>
      <w:r>
        <w:separator/>
      </w:r>
    </w:p>
  </w:footnote>
  <w:footnote w:type="continuationSeparator" w:id="0">
    <w:p w14:paraId="3C8E40DC" w14:textId="77777777" w:rsidR="00F47F21" w:rsidRDefault="00F47F21" w:rsidP="0029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A580" w14:textId="236338B7" w:rsidR="00297584" w:rsidRDefault="00297584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7DD1DAAE" wp14:editId="26BD878A">
          <wp:extent cx="2615738" cy="1338349"/>
          <wp:effectExtent l="0" t="0" r="0" b="0"/>
          <wp:docPr id="8186500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095474" name="Picture 657095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738" cy="1338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601F"/>
    <w:multiLevelType w:val="hybridMultilevel"/>
    <w:tmpl w:val="C47084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1E1E"/>
    <w:multiLevelType w:val="hybridMultilevel"/>
    <w:tmpl w:val="3D8205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2E7A"/>
    <w:multiLevelType w:val="hybridMultilevel"/>
    <w:tmpl w:val="83CA44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1D9A"/>
    <w:multiLevelType w:val="hybridMultilevel"/>
    <w:tmpl w:val="959046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70997"/>
    <w:multiLevelType w:val="hybridMultilevel"/>
    <w:tmpl w:val="6B620852"/>
    <w:lvl w:ilvl="0" w:tplc="0A9C5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D3494"/>
    <w:multiLevelType w:val="hybridMultilevel"/>
    <w:tmpl w:val="90988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0C62"/>
    <w:multiLevelType w:val="hybridMultilevel"/>
    <w:tmpl w:val="ECCC0A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F3CEA"/>
    <w:multiLevelType w:val="hybridMultilevel"/>
    <w:tmpl w:val="59CEC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5322">
    <w:abstractNumId w:val="5"/>
  </w:num>
  <w:num w:numId="2" w16cid:durableId="1725060718">
    <w:abstractNumId w:val="7"/>
  </w:num>
  <w:num w:numId="3" w16cid:durableId="527255363">
    <w:abstractNumId w:val="2"/>
  </w:num>
  <w:num w:numId="4" w16cid:durableId="1972395311">
    <w:abstractNumId w:val="3"/>
  </w:num>
  <w:num w:numId="5" w16cid:durableId="2098206888">
    <w:abstractNumId w:val="0"/>
  </w:num>
  <w:num w:numId="6" w16cid:durableId="1505508940">
    <w:abstractNumId w:val="1"/>
  </w:num>
  <w:num w:numId="7" w16cid:durableId="677774934">
    <w:abstractNumId w:val="4"/>
  </w:num>
  <w:num w:numId="8" w16cid:durableId="754057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C7"/>
    <w:rsid w:val="000058A1"/>
    <w:rsid w:val="0002311D"/>
    <w:rsid w:val="00053D6D"/>
    <w:rsid w:val="0006194B"/>
    <w:rsid w:val="001816EE"/>
    <w:rsid w:val="002005E9"/>
    <w:rsid w:val="00270AF5"/>
    <w:rsid w:val="00297584"/>
    <w:rsid w:val="002F1029"/>
    <w:rsid w:val="00322121"/>
    <w:rsid w:val="00340E5B"/>
    <w:rsid w:val="003B1B8A"/>
    <w:rsid w:val="0040373E"/>
    <w:rsid w:val="00471417"/>
    <w:rsid w:val="00472E40"/>
    <w:rsid w:val="004B24C7"/>
    <w:rsid w:val="004B405E"/>
    <w:rsid w:val="0053153F"/>
    <w:rsid w:val="005A3580"/>
    <w:rsid w:val="006254F7"/>
    <w:rsid w:val="00631062"/>
    <w:rsid w:val="00642E24"/>
    <w:rsid w:val="00684418"/>
    <w:rsid w:val="006C5A3A"/>
    <w:rsid w:val="006E5ACD"/>
    <w:rsid w:val="00743663"/>
    <w:rsid w:val="008341A1"/>
    <w:rsid w:val="00840431"/>
    <w:rsid w:val="008A3F02"/>
    <w:rsid w:val="008D24D0"/>
    <w:rsid w:val="009E5468"/>
    <w:rsid w:val="009E5EF3"/>
    <w:rsid w:val="00A61EDF"/>
    <w:rsid w:val="00A710C7"/>
    <w:rsid w:val="00B53B99"/>
    <w:rsid w:val="00B94A90"/>
    <w:rsid w:val="00B971B1"/>
    <w:rsid w:val="00C94F8A"/>
    <w:rsid w:val="00C95329"/>
    <w:rsid w:val="00CE2FD6"/>
    <w:rsid w:val="00CE3B59"/>
    <w:rsid w:val="00D042A2"/>
    <w:rsid w:val="00DF59EA"/>
    <w:rsid w:val="00E8548B"/>
    <w:rsid w:val="00EA5578"/>
    <w:rsid w:val="00F1321B"/>
    <w:rsid w:val="00F158A2"/>
    <w:rsid w:val="00F1615D"/>
    <w:rsid w:val="00F30680"/>
    <w:rsid w:val="00F4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A608"/>
  <w15:docId w15:val="{EDA209BE-2B30-4A13-A30B-02A796D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C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710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0C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710C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0C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0C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0C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0C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0C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71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0C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0C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7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0C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71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0C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710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1E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E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9E54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7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7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8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dkdbwHg6rgBCZr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nsa.eu/c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fif"/><Relationship Id="rId2" Type="http://schemas.openxmlformats.org/officeDocument/2006/relationships/image" Target="media/image3.jf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2024-07-08T11:38:00Z</dcterms:created>
  <dcterms:modified xsi:type="dcterms:W3CDTF">2024-07-08T12:17:00Z</dcterms:modified>
</cp:coreProperties>
</file>